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BD" w:rsidRPr="00BC43BD" w:rsidRDefault="00BC43BD" w:rsidP="00BC43B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C43BD">
        <w:rPr>
          <w:rFonts w:ascii="Times New Roman" w:eastAsia="Times New Roman" w:hAnsi="Times New Roman" w:cs="Times New Roman"/>
          <w:b/>
          <w:bCs/>
          <w:kern w:val="36"/>
          <w:sz w:val="48"/>
          <w:szCs w:val="48"/>
          <w:lang w:eastAsia="de-DE"/>
        </w:rPr>
        <w:t>Ge</w:t>
      </w:r>
      <w:r w:rsidRPr="00BC43BD">
        <w:rPr>
          <w:rFonts w:ascii="Times New Roman" w:eastAsia="Times New Roman" w:hAnsi="Times New Roman" w:cs="Times New Roman"/>
          <w:b/>
          <w:bCs/>
          <w:kern w:val="36"/>
          <w:sz w:val="48"/>
          <w:szCs w:val="48"/>
          <w:lang w:eastAsia="de-DE"/>
        </w:rPr>
        <w:softHyphen/>
        <w:t>setz zum Schutz vor Ma</w:t>
      </w:r>
      <w:r w:rsidRPr="00BC43BD">
        <w:rPr>
          <w:rFonts w:ascii="Times New Roman" w:eastAsia="Times New Roman" w:hAnsi="Times New Roman" w:cs="Times New Roman"/>
          <w:b/>
          <w:bCs/>
          <w:kern w:val="36"/>
          <w:sz w:val="48"/>
          <w:szCs w:val="48"/>
          <w:lang w:eastAsia="de-DE"/>
        </w:rPr>
        <w:softHyphen/>
        <w:t>ni</w:t>
      </w:r>
      <w:r w:rsidRPr="00BC43BD">
        <w:rPr>
          <w:rFonts w:ascii="Times New Roman" w:eastAsia="Times New Roman" w:hAnsi="Times New Roman" w:cs="Times New Roman"/>
          <w:b/>
          <w:bCs/>
          <w:kern w:val="36"/>
          <w:sz w:val="48"/>
          <w:szCs w:val="48"/>
          <w:lang w:eastAsia="de-DE"/>
        </w:rPr>
        <w:softHyphen/>
        <w:t>pu</w:t>
      </w:r>
      <w:r w:rsidRPr="00BC43BD">
        <w:rPr>
          <w:rFonts w:ascii="Times New Roman" w:eastAsia="Times New Roman" w:hAnsi="Times New Roman" w:cs="Times New Roman"/>
          <w:b/>
          <w:bCs/>
          <w:kern w:val="36"/>
          <w:sz w:val="48"/>
          <w:szCs w:val="48"/>
          <w:lang w:eastAsia="de-DE"/>
        </w:rPr>
        <w:softHyphen/>
        <w:t>la</w:t>
      </w:r>
      <w:r w:rsidRPr="00BC43BD">
        <w:rPr>
          <w:rFonts w:ascii="Times New Roman" w:eastAsia="Times New Roman" w:hAnsi="Times New Roman" w:cs="Times New Roman"/>
          <w:b/>
          <w:bCs/>
          <w:kern w:val="36"/>
          <w:sz w:val="48"/>
          <w:szCs w:val="48"/>
          <w:lang w:eastAsia="de-DE"/>
        </w:rPr>
        <w:softHyphen/>
        <w:t>tio</w:t>
      </w:r>
      <w:r w:rsidRPr="00BC43BD">
        <w:rPr>
          <w:rFonts w:ascii="Times New Roman" w:eastAsia="Times New Roman" w:hAnsi="Times New Roman" w:cs="Times New Roman"/>
          <w:b/>
          <w:bCs/>
          <w:kern w:val="36"/>
          <w:sz w:val="48"/>
          <w:szCs w:val="48"/>
          <w:lang w:eastAsia="de-DE"/>
        </w:rPr>
        <w:softHyphen/>
        <w:t>nen an di</w:t>
      </w:r>
      <w:r w:rsidRPr="00BC43BD">
        <w:rPr>
          <w:rFonts w:ascii="Times New Roman" w:eastAsia="Times New Roman" w:hAnsi="Times New Roman" w:cs="Times New Roman"/>
          <w:b/>
          <w:bCs/>
          <w:kern w:val="36"/>
          <w:sz w:val="48"/>
          <w:szCs w:val="48"/>
          <w:lang w:eastAsia="de-DE"/>
        </w:rPr>
        <w:softHyphen/>
        <w:t>gi</w:t>
      </w:r>
      <w:r w:rsidRPr="00BC43BD">
        <w:rPr>
          <w:rFonts w:ascii="Times New Roman" w:eastAsia="Times New Roman" w:hAnsi="Times New Roman" w:cs="Times New Roman"/>
          <w:b/>
          <w:bCs/>
          <w:kern w:val="36"/>
          <w:sz w:val="48"/>
          <w:szCs w:val="48"/>
          <w:lang w:eastAsia="de-DE"/>
        </w:rPr>
        <w:softHyphen/>
        <w:t>ta</w:t>
      </w:r>
      <w:r w:rsidRPr="00BC43BD">
        <w:rPr>
          <w:rFonts w:ascii="Times New Roman" w:eastAsia="Times New Roman" w:hAnsi="Times New Roman" w:cs="Times New Roman"/>
          <w:b/>
          <w:bCs/>
          <w:kern w:val="36"/>
          <w:sz w:val="48"/>
          <w:szCs w:val="48"/>
          <w:lang w:eastAsia="de-DE"/>
        </w:rPr>
        <w:softHyphen/>
        <w:t xml:space="preserve">len </w:t>
      </w:r>
      <w:proofErr w:type="spellStart"/>
      <w:r w:rsidRPr="00BC43BD">
        <w:rPr>
          <w:rFonts w:ascii="Times New Roman" w:eastAsia="Times New Roman" w:hAnsi="Times New Roman" w:cs="Times New Roman"/>
          <w:b/>
          <w:bCs/>
          <w:kern w:val="36"/>
          <w:sz w:val="48"/>
          <w:szCs w:val="48"/>
          <w:lang w:eastAsia="de-DE"/>
        </w:rPr>
        <w:t>Grund</w:t>
      </w:r>
      <w:r w:rsidRPr="00BC43BD">
        <w:rPr>
          <w:rFonts w:ascii="Times New Roman" w:eastAsia="Times New Roman" w:hAnsi="Times New Roman" w:cs="Times New Roman"/>
          <w:b/>
          <w:bCs/>
          <w:kern w:val="36"/>
          <w:sz w:val="48"/>
          <w:szCs w:val="48"/>
          <w:lang w:eastAsia="de-DE"/>
        </w:rPr>
        <w:softHyphen/>
        <w:t>auf</w:t>
      </w:r>
      <w:r w:rsidRPr="00BC43BD">
        <w:rPr>
          <w:rFonts w:ascii="Times New Roman" w:eastAsia="Times New Roman" w:hAnsi="Times New Roman" w:cs="Times New Roman"/>
          <w:b/>
          <w:bCs/>
          <w:kern w:val="36"/>
          <w:sz w:val="48"/>
          <w:szCs w:val="48"/>
          <w:lang w:eastAsia="de-DE"/>
        </w:rPr>
        <w:softHyphen/>
        <w:t>zeich</w:t>
      </w:r>
      <w:r w:rsidRPr="00BC43BD">
        <w:rPr>
          <w:rFonts w:ascii="Times New Roman" w:eastAsia="Times New Roman" w:hAnsi="Times New Roman" w:cs="Times New Roman"/>
          <w:b/>
          <w:bCs/>
          <w:kern w:val="36"/>
          <w:sz w:val="48"/>
          <w:szCs w:val="48"/>
          <w:lang w:eastAsia="de-DE"/>
        </w:rPr>
        <w:softHyphen/>
        <w:t>nun</w:t>
      </w:r>
      <w:r w:rsidRPr="00BC43BD">
        <w:rPr>
          <w:rFonts w:ascii="Times New Roman" w:eastAsia="Times New Roman" w:hAnsi="Times New Roman" w:cs="Times New Roman"/>
          <w:b/>
          <w:bCs/>
          <w:kern w:val="36"/>
          <w:sz w:val="48"/>
          <w:szCs w:val="48"/>
          <w:lang w:eastAsia="de-DE"/>
        </w:rPr>
        <w:softHyphen/>
        <w:t>gen</w:t>
      </w:r>
      <w:proofErr w:type="spellEnd"/>
      <w:r w:rsidRPr="00BC43BD">
        <w:rPr>
          <w:rFonts w:ascii="Times New Roman" w:eastAsia="Times New Roman" w:hAnsi="Times New Roman" w:cs="Times New Roman"/>
          <w:b/>
          <w:bCs/>
          <w:kern w:val="36"/>
          <w:sz w:val="48"/>
          <w:szCs w:val="48"/>
          <w:lang w:eastAsia="de-DE"/>
        </w:rPr>
        <w:t xml:space="preserve"> </w:t>
      </w:r>
    </w:p>
    <w:p w:rsidR="00BC43BD" w:rsidRPr="00BC43BD" w:rsidRDefault="00BC43BD" w:rsidP="00BC43B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C43BD">
        <w:rPr>
          <w:rFonts w:ascii="Times New Roman" w:eastAsia="Times New Roman" w:hAnsi="Times New Roman" w:cs="Times New Roman"/>
          <w:sz w:val="24"/>
          <w:szCs w:val="24"/>
          <w:lang w:eastAsia="de-DE"/>
        </w:rPr>
        <w:t xml:space="preserve">28.12.2016 </w:t>
      </w:r>
    </w:p>
    <w:p w:rsidR="00BC43BD" w:rsidRPr="00BC43BD" w:rsidRDefault="00BC43BD" w:rsidP="00BC43BD">
      <w:pPr>
        <w:spacing w:before="100" w:beforeAutospacing="1" w:after="100" w:afterAutospacing="1" w:line="240" w:lineRule="auto"/>
        <w:rPr>
          <w:rFonts w:ascii="Times New Roman" w:eastAsia="Times New Roman" w:hAnsi="Times New Roman" w:cs="Times New Roman"/>
          <w:sz w:val="24"/>
          <w:szCs w:val="24"/>
          <w:lang w:eastAsia="de-DE"/>
        </w:rPr>
      </w:pPr>
      <w:r w:rsidRPr="00BC43BD">
        <w:rPr>
          <w:rFonts w:ascii="Times New Roman" w:eastAsia="Times New Roman" w:hAnsi="Times New Roman" w:cs="Times New Roman"/>
          <w:sz w:val="24"/>
          <w:szCs w:val="24"/>
          <w:lang w:eastAsia="de-DE"/>
        </w:rPr>
        <w:t>Zum 31. Dezember 2016 lief die Übergangsfrist des BMF-Schreibens vom 26. November 2010 (</w:t>
      </w:r>
      <w:proofErr w:type="spellStart"/>
      <w:r w:rsidRPr="00BC43BD">
        <w:rPr>
          <w:rFonts w:ascii="Times New Roman" w:eastAsia="Times New Roman" w:hAnsi="Times New Roman" w:cs="Times New Roman"/>
          <w:sz w:val="24"/>
          <w:szCs w:val="24"/>
          <w:lang w:eastAsia="de-DE"/>
        </w:rPr>
        <w:t>BStBl</w:t>
      </w:r>
      <w:proofErr w:type="spellEnd"/>
      <w:r w:rsidRPr="00BC43BD">
        <w:rPr>
          <w:rFonts w:ascii="Times New Roman" w:eastAsia="Times New Roman" w:hAnsi="Times New Roman" w:cs="Times New Roman"/>
          <w:sz w:val="24"/>
          <w:szCs w:val="24"/>
          <w:lang w:eastAsia="de-DE"/>
        </w:rPr>
        <w:t xml:space="preserve"> I S. 1342) zur Aufbewahrung digitaler Unterlagen bei Bargeschäften aus. Ab dem 1. Januar 2017 müssen Unterlagen im Sinne des § 147 Absatz 1 </w:t>
      </w:r>
      <w:hyperlink r:id="rId5" w:tgtFrame="_blank" w:tooltip="Glossareintrag &quot;Abgabenordnung&quot; öffnen" w:history="1">
        <w:r w:rsidRPr="00BC43BD">
          <w:rPr>
            <w:rFonts w:ascii="Times New Roman" w:eastAsia="Times New Roman" w:hAnsi="Times New Roman" w:cs="Times New Roman"/>
            <w:color w:val="0000FF"/>
            <w:sz w:val="24"/>
            <w:szCs w:val="24"/>
            <w:u w:val="single"/>
            <w:lang w:eastAsia="de-DE"/>
          </w:rPr>
          <w:t>Abgabenordnung</w:t>
        </w:r>
      </w:hyperlink>
      <w:r w:rsidRPr="00BC43BD">
        <w:rPr>
          <w:rFonts w:ascii="Times New Roman" w:eastAsia="Times New Roman" w:hAnsi="Times New Roman" w:cs="Times New Roman"/>
          <w:sz w:val="24"/>
          <w:szCs w:val="24"/>
          <w:lang w:eastAsia="de-DE"/>
        </w:rPr>
        <w:t>, die mittels elektronischer Registrierkassen, Waagen mit Registrierkassenfunktion, Taxametern und Wegstreckenzähler erstellt worden sind, für die Dauer der Aufbewahrungsfrist jederzeit verfügbar, unverzüglich lesbar und maschinell auswertbar aufbewahrt werden (§ 147 Absatz 2 Abgabenordnung). Das Gesetz zum Schutz vor Manipulationen an digitalen Grundaufzeichnungen vom 22. Dezember 2016 (</w:t>
      </w:r>
      <w:proofErr w:type="spellStart"/>
      <w:r w:rsidRPr="00BC43BD">
        <w:rPr>
          <w:rFonts w:ascii="Times New Roman" w:eastAsia="Times New Roman" w:hAnsi="Times New Roman" w:cs="Times New Roman"/>
          <w:sz w:val="24"/>
          <w:szCs w:val="24"/>
          <w:lang w:eastAsia="de-DE"/>
        </w:rPr>
        <w:t>BGBl</w:t>
      </w:r>
      <w:proofErr w:type="spellEnd"/>
      <w:r w:rsidRPr="00BC43BD">
        <w:rPr>
          <w:rFonts w:ascii="Times New Roman" w:eastAsia="Times New Roman" w:hAnsi="Times New Roman" w:cs="Times New Roman"/>
          <w:sz w:val="24"/>
          <w:szCs w:val="24"/>
          <w:lang w:eastAsia="de-DE"/>
        </w:rPr>
        <w:t>. I S. 3152) sieht eine Einzelaufzeichnungspflicht vor, die am Tag nach der Verkündung des Gesetzes in Kraft tritt. Die Einzelaufzeichnungspflicht bedeutet, dass aufzeichnungspflichtige Geschäftsvorfälle laufend zu erfassen, einzeln festzuhalten sowie aufzuzeichnen und aufzubewahren sind, so dass sich die einzelnen Geschäftsvorfälle in ihrer Entstehung und Abwicklung verfolgen lassen können. Eine Ausnahme von der Einzelaufzeichnungspflicht besteht aus Zumutbarkeitsgründen bei Verkauf von Waren an eine Vielzahl von nicht bekannten Personen gegen Barzahlung.</w:t>
      </w:r>
    </w:p>
    <w:p w:rsidR="00BC43BD" w:rsidRPr="00BC43BD" w:rsidRDefault="00BC43BD" w:rsidP="00BC43BD">
      <w:pPr>
        <w:spacing w:before="100" w:beforeAutospacing="1" w:after="100" w:afterAutospacing="1" w:line="240" w:lineRule="auto"/>
        <w:rPr>
          <w:rFonts w:ascii="Times New Roman" w:eastAsia="Times New Roman" w:hAnsi="Times New Roman" w:cs="Times New Roman"/>
          <w:sz w:val="24"/>
          <w:szCs w:val="24"/>
          <w:lang w:eastAsia="de-DE"/>
        </w:rPr>
      </w:pPr>
      <w:r w:rsidRPr="00BC43BD">
        <w:rPr>
          <w:rFonts w:ascii="Times New Roman" w:eastAsia="Times New Roman" w:hAnsi="Times New Roman" w:cs="Times New Roman"/>
          <w:sz w:val="24"/>
          <w:szCs w:val="24"/>
          <w:lang w:eastAsia="de-DE"/>
        </w:rPr>
        <w:t>Ab dem 1. Januar 2018 wird die Möglichkeit der Kassen-Nachschau eingeführt. Dies ist ein eigenständiges Verfahren zur zeitnahen Aufklärung steuererheblicher Sachverhalte unter anderem im Zusammenhang mit der ordnungsgemäßen Erfassung von Geschäftsvorfällen.</w:t>
      </w:r>
    </w:p>
    <w:p w:rsidR="00BC43BD" w:rsidRPr="00981F29" w:rsidRDefault="00BC43BD" w:rsidP="00BC43BD">
      <w:pPr>
        <w:spacing w:before="100" w:beforeAutospacing="1" w:after="100" w:afterAutospacing="1" w:line="240" w:lineRule="auto"/>
        <w:rPr>
          <w:rFonts w:ascii="Times New Roman" w:eastAsia="Times New Roman" w:hAnsi="Times New Roman" w:cs="Times New Roman"/>
          <w:sz w:val="24"/>
          <w:szCs w:val="24"/>
          <w:highlight w:val="yellow"/>
          <w:lang w:eastAsia="de-DE"/>
        </w:rPr>
      </w:pPr>
      <w:r w:rsidRPr="00981F29">
        <w:rPr>
          <w:rFonts w:ascii="Times New Roman" w:eastAsia="Times New Roman" w:hAnsi="Times New Roman" w:cs="Times New Roman"/>
          <w:sz w:val="24"/>
          <w:szCs w:val="24"/>
          <w:highlight w:val="yellow"/>
          <w:lang w:eastAsia="de-DE"/>
        </w:rPr>
        <w:t>Elektronische Aufzeichnungssysteme müssen ab dem 1. Januar 2020 über eine zertifizierte technische Sicherheitseinrichtung verfügen, die aus drei Bestandteilen besteht: einem Sicherheitsmodul, einem Speichermedium und einer digitalen Schnittstelle.</w:t>
      </w:r>
    </w:p>
    <w:p w:rsidR="00BC43BD" w:rsidRPr="00981F29" w:rsidRDefault="00BC43BD" w:rsidP="00BC43BD">
      <w:pPr>
        <w:numPr>
          <w:ilvl w:val="0"/>
          <w:numId w:val="2"/>
        </w:numPr>
        <w:spacing w:before="100" w:beforeAutospacing="1" w:after="100" w:afterAutospacing="1" w:line="240" w:lineRule="auto"/>
        <w:rPr>
          <w:rFonts w:ascii="Times New Roman" w:eastAsia="Times New Roman" w:hAnsi="Times New Roman" w:cs="Times New Roman"/>
          <w:sz w:val="24"/>
          <w:szCs w:val="24"/>
          <w:highlight w:val="yellow"/>
          <w:lang w:eastAsia="de-DE"/>
        </w:rPr>
      </w:pPr>
      <w:r w:rsidRPr="00981F29">
        <w:rPr>
          <w:rFonts w:ascii="Times New Roman" w:eastAsia="Times New Roman" w:hAnsi="Times New Roman" w:cs="Times New Roman"/>
          <w:sz w:val="24"/>
          <w:szCs w:val="24"/>
          <w:highlight w:val="yellow"/>
          <w:lang w:eastAsia="de-DE"/>
        </w:rPr>
        <w:t>Das Sicherheitsmodul gewährleistet, dass Kasseneingaben mit Beginn des Aufzeichnungsvorgangs protokolliert und später nicht mehr unerkannt verändert werden können.</w:t>
      </w:r>
    </w:p>
    <w:p w:rsidR="00BC43BD" w:rsidRPr="00981F29" w:rsidRDefault="00BC43BD" w:rsidP="00BC43BD">
      <w:pPr>
        <w:numPr>
          <w:ilvl w:val="0"/>
          <w:numId w:val="2"/>
        </w:numPr>
        <w:spacing w:before="100" w:beforeAutospacing="1" w:after="100" w:afterAutospacing="1" w:line="240" w:lineRule="auto"/>
        <w:rPr>
          <w:rFonts w:ascii="Times New Roman" w:eastAsia="Times New Roman" w:hAnsi="Times New Roman" w:cs="Times New Roman"/>
          <w:sz w:val="24"/>
          <w:szCs w:val="24"/>
          <w:highlight w:val="yellow"/>
          <w:lang w:eastAsia="de-DE"/>
        </w:rPr>
      </w:pPr>
      <w:r w:rsidRPr="00981F29">
        <w:rPr>
          <w:rFonts w:ascii="Times New Roman" w:eastAsia="Times New Roman" w:hAnsi="Times New Roman" w:cs="Times New Roman"/>
          <w:sz w:val="24"/>
          <w:szCs w:val="24"/>
          <w:highlight w:val="yellow"/>
          <w:lang w:eastAsia="de-DE"/>
        </w:rPr>
        <w:t>Auf dem Speichermedium werden die Einzelaufzeichnungen für die Dauer der gesetzlichen Aufbewahrungsfrist gespeichert.</w:t>
      </w:r>
    </w:p>
    <w:p w:rsidR="00BC43BD" w:rsidRPr="00981F29" w:rsidRDefault="00BC43BD" w:rsidP="00BC43BD">
      <w:pPr>
        <w:numPr>
          <w:ilvl w:val="0"/>
          <w:numId w:val="2"/>
        </w:numPr>
        <w:spacing w:before="100" w:beforeAutospacing="1" w:after="100" w:afterAutospacing="1" w:line="240" w:lineRule="auto"/>
        <w:rPr>
          <w:rFonts w:ascii="Times New Roman" w:eastAsia="Times New Roman" w:hAnsi="Times New Roman" w:cs="Times New Roman"/>
          <w:sz w:val="24"/>
          <w:szCs w:val="24"/>
          <w:highlight w:val="yellow"/>
          <w:lang w:eastAsia="de-DE"/>
        </w:rPr>
      </w:pPr>
      <w:r w:rsidRPr="00981F29">
        <w:rPr>
          <w:rFonts w:ascii="Times New Roman" w:eastAsia="Times New Roman" w:hAnsi="Times New Roman" w:cs="Times New Roman"/>
          <w:sz w:val="24"/>
          <w:szCs w:val="24"/>
          <w:highlight w:val="yellow"/>
          <w:lang w:eastAsia="de-DE"/>
        </w:rPr>
        <w:t>Die digitale Schnittstelle gewährleistet eine reibungslose Datenübertragung, z. B. für Prüfungszwecke.</w:t>
      </w:r>
    </w:p>
    <w:p w:rsidR="00BC43BD" w:rsidRPr="00BC43BD" w:rsidRDefault="00BC43BD" w:rsidP="00BC43BD">
      <w:pPr>
        <w:spacing w:before="100" w:beforeAutospacing="1" w:after="100" w:afterAutospacing="1" w:line="240" w:lineRule="auto"/>
        <w:rPr>
          <w:rFonts w:ascii="Times New Roman" w:eastAsia="Times New Roman" w:hAnsi="Times New Roman" w:cs="Times New Roman"/>
          <w:sz w:val="24"/>
          <w:szCs w:val="24"/>
          <w:lang w:eastAsia="de-DE"/>
        </w:rPr>
      </w:pPr>
      <w:r w:rsidRPr="00981F29">
        <w:rPr>
          <w:rFonts w:ascii="Times New Roman" w:eastAsia="Times New Roman" w:hAnsi="Times New Roman" w:cs="Times New Roman"/>
          <w:sz w:val="24"/>
          <w:szCs w:val="24"/>
          <w:highlight w:val="yellow"/>
          <w:lang w:eastAsia="de-DE"/>
        </w:rPr>
        <w:t xml:space="preserve">Welche elektronischen Aufzeichnungssysteme über eine zertifizierte technische Sicherheitseinrichtung verfügen müssen, wird u. a. durch eine Rechtsverordnung festgelegt, die im Einvernehmen zwischen dem BMF, dem BMI und dem </w:t>
      </w:r>
      <w:proofErr w:type="spellStart"/>
      <w:r w:rsidRPr="00981F29">
        <w:rPr>
          <w:rFonts w:ascii="Times New Roman" w:eastAsia="Times New Roman" w:hAnsi="Times New Roman" w:cs="Times New Roman"/>
          <w:sz w:val="24"/>
          <w:szCs w:val="24"/>
          <w:highlight w:val="yellow"/>
          <w:lang w:eastAsia="de-DE"/>
        </w:rPr>
        <w:t>BMWi</w:t>
      </w:r>
      <w:proofErr w:type="spellEnd"/>
      <w:r w:rsidRPr="00981F29">
        <w:rPr>
          <w:rFonts w:ascii="Times New Roman" w:eastAsia="Times New Roman" w:hAnsi="Times New Roman" w:cs="Times New Roman"/>
          <w:sz w:val="24"/>
          <w:szCs w:val="24"/>
          <w:highlight w:val="yellow"/>
          <w:lang w:eastAsia="de-DE"/>
        </w:rPr>
        <w:t xml:space="preserve"> erstellt wird und der Zustimmung des Deutschen Bundestages und des Bundesrats bedarf. Diese Rechtsverordnung soll im Jahr 2017 erarbeitet werden. Daran wird sich das Verordnungsgebungsverfahren anschließen.</w:t>
      </w:r>
    </w:p>
    <w:p w:rsidR="00BC43BD" w:rsidRPr="00BC43BD" w:rsidRDefault="00BC43BD" w:rsidP="00BC43BD">
      <w:pPr>
        <w:spacing w:before="100" w:beforeAutospacing="1" w:after="100" w:afterAutospacing="1" w:line="240" w:lineRule="auto"/>
        <w:rPr>
          <w:rFonts w:ascii="Times New Roman" w:eastAsia="Times New Roman" w:hAnsi="Times New Roman" w:cs="Times New Roman"/>
          <w:sz w:val="24"/>
          <w:szCs w:val="24"/>
          <w:lang w:eastAsia="de-DE"/>
        </w:rPr>
      </w:pPr>
      <w:r w:rsidRPr="00BC43BD">
        <w:rPr>
          <w:rFonts w:ascii="Times New Roman" w:eastAsia="Times New Roman" w:hAnsi="Times New Roman" w:cs="Times New Roman"/>
          <w:sz w:val="24"/>
          <w:szCs w:val="24"/>
          <w:lang w:eastAsia="de-DE"/>
        </w:rPr>
        <w:t xml:space="preserve">Weiterhin ist ab dem 1. Januar 2020 die verpflichtende elektronische Belegausgabe bei elektronischen Aufzeichnungssysteme vorgesehen. Danach muss für den an diesem Geschäftsvorfall Beteiligten ein Beleg erstellt und diesem zur Verfügung gestellt werden. Der Beleg kann elektronisch oder in Papierform zur Verfügung gestellt werden. Mit der Belegausgabepflicht entsteht für den am Geschäftsvorfall Beteiligten aber keine Pflicht zur </w:t>
      </w:r>
      <w:r w:rsidRPr="00BC43BD">
        <w:rPr>
          <w:rFonts w:ascii="Times New Roman" w:eastAsia="Times New Roman" w:hAnsi="Times New Roman" w:cs="Times New Roman"/>
          <w:sz w:val="24"/>
          <w:szCs w:val="24"/>
          <w:lang w:eastAsia="de-DE"/>
        </w:rPr>
        <w:lastRenderedPageBreak/>
        <w:t>Mitnahme des Belegs. Aus Gründen der Zumutbarkeit und Praktikabilität besteht unter den Voraussetzungen des § 148 Abgabenordnung die Möglichkeit einer Befreiung von der Belegausgabepflicht.</w:t>
      </w:r>
    </w:p>
    <w:p w:rsidR="00BC43BD" w:rsidRPr="00BC43BD" w:rsidRDefault="00BC43BD" w:rsidP="00BC43BD">
      <w:pPr>
        <w:spacing w:before="100" w:beforeAutospacing="1" w:after="100" w:afterAutospacing="1" w:line="240" w:lineRule="auto"/>
        <w:rPr>
          <w:rFonts w:ascii="Times New Roman" w:eastAsia="Times New Roman" w:hAnsi="Times New Roman" w:cs="Times New Roman"/>
          <w:sz w:val="24"/>
          <w:szCs w:val="24"/>
          <w:lang w:eastAsia="de-DE"/>
        </w:rPr>
      </w:pPr>
      <w:r w:rsidRPr="00BC43BD">
        <w:rPr>
          <w:rFonts w:ascii="Times New Roman" w:eastAsia="Times New Roman" w:hAnsi="Times New Roman" w:cs="Times New Roman"/>
          <w:sz w:val="24"/>
          <w:szCs w:val="24"/>
          <w:lang w:eastAsia="de-DE"/>
        </w:rPr>
        <w:t>Ab dem 1. Januar 2020 haben Steuerpflichtige, die elektronische Aufzeichnungssysteme verwenden, die Art und Anzahl der im jeweiligen Unternehmen eingesetzten elektronischen Aufzeichnungssysteme und der zertifizierten technischen Sicherheitseinrichtungen dem zuständigen Finanzamt mitzuteilen. Diejenigen Steuerpflichtigen, die ein elektronisches Aufzeichnungssysteme vor dem 1. Januar 2020 angeschafft haben, haben diese Meldung bis zum 31. Januar 2020 zu erstatten.</w:t>
      </w:r>
    </w:p>
    <w:p w:rsidR="00BC43BD" w:rsidRPr="00BC43BD" w:rsidRDefault="00BC43BD" w:rsidP="00BC43BD">
      <w:pPr>
        <w:spacing w:after="0" w:line="240" w:lineRule="auto"/>
        <w:rPr>
          <w:rFonts w:ascii="Times New Roman" w:eastAsia="Times New Roman" w:hAnsi="Times New Roman" w:cs="Times New Roman"/>
          <w:sz w:val="24"/>
          <w:szCs w:val="24"/>
          <w:lang w:eastAsia="de-DE"/>
        </w:rPr>
      </w:pPr>
      <w:r w:rsidRPr="00BC43BD">
        <w:rPr>
          <w:rFonts w:ascii="Times New Roman" w:eastAsia="Times New Roman" w:hAnsi="Times New Roman" w:cs="Times New Roman"/>
          <w:sz w:val="24"/>
          <w:szCs w:val="24"/>
          <w:lang w:eastAsia="de-DE"/>
        </w:rPr>
        <w:t>Referentenentwurf</w:t>
      </w:r>
    </w:p>
    <w:p w:rsidR="00BC43BD" w:rsidRPr="00BC43BD" w:rsidRDefault="00BC43BD" w:rsidP="00BC43BD">
      <w:pPr>
        <w:spacing w:after="0" w:line="240" w:lineRule="auto"/>
        <w:rPr>
          <w:rFonts w:ascii="Times New Roman" w:eastAsia="Times New Roman" w:hAnsi="Times New Roman" w:cs="Times New Roman"/>
          <w:sz w:val="24"/>
          <w:szCs w:val="24"/>
          <w:lang w:eastAsia="de-DE"/>
        </w:rPr>
      </w:pPr>
      <w:r w:rsidRPr="00BC43BD">
        <w:rPr>
          <w:rFonts w:ascii="Times New Roman" w:eastAsia="Times New Roman" w:hAnsi="Times New Roman" w:cs="Times New Roman"/>
          <w:sz w:val="24"/>
          <w:szCs w:val="24"/>
          <w:lang w:eastAsia="de-DE"/>
        </w:rPr>
        <w:t>Stellungnahmen zum Referentenentwurf</w:t>
      </w:r>
    </w:p>
    <w:p w:rsidR="00BC43BD" w:rsidRDefault="00BC43BD" w:rsidP="00BC43BD">
      <w:pPr>
        <w:spacing w:after="0" w:line="240" w:lineRule="auto"/>
        <w:rPr>
          <w:rFonts w:ascii="Times New Roman" w:eastAsia="Times New Roman" w:hAnsi="Times New Roman" w:cs="Times New Roman"/>
          <w:sz w:val="24"/>
          <w:szCs w:val="24"/>
          <w:lang w:eastAsia="de-DE"/>
        </w:rPr>
      </w:pPr>
      <w:r w:rsidRPr="00BC43BD">
        <w:rPr>
          <w:rFonts w:ascii="Times New Roman" w:eastAsia="Times New Roman" w:hAnsi="Times New Roman" w:cs="Times New Roman"/>
          <w:sz w:val="24"/>
          <w:szCs w:val="24"/>
          <w:lang w:eastAsia="de-DE"/>
        </w:rPr>
        <w:t>Regierungsentwurf</w:t>
      </w:r>
    </w:p>
    <w:p w:rsidR="00BC43BD" w:rsidRDefault="00BC43BD" w:rsidP="00BC43BD">
      <w:pPr>
        <w:spacing w:after="0" w:line="240" w:lineRule="auto"/>
        <w:rPr>
          <w:rFonts w:ascii="Times New Roman" w:eastAsia="Times New Roman" w:hAnsi="Times New Roman" w:cs="Times New Roman"/>
          <w:sz w:val="24"/>
          <w:szCs w:val="24"/>
          <w:lang w:eastAsia="de-DE"/>
        </w:rPr>
      </w:pPr>
    </w:p>
    <w:p w:rsidR="00BC43BD" w:rsidRPr="00BC43BD" w:rsidRDefault="00BC43BD" w:rsidP="00BC43BD">
      <w:pPr>
        <w:spacing w:after="0" w:line="240" w:lineRule="auto"/>
        <w:rPr>
          <w:rFonts w:ascii="Times New Roman" w:eastAsia="Times New Roman" w:hAnsi="Times New Roman" w:cs="Times New Roman"/>
          <w:sz w:val="24"/>
          <w:szCs w:val="24"/>
          <w:lang w:eastAsia="de-DE"/>
        </w:rPr>
      </w:pPr>
    </w:p>
    <w:p w:rsidR="00BC43BD" w:rsidRDefault="00BC43BD" w:rsidP="00BC43BD">
      <w:pPr>
        <w:spacing w:after="0" w:line="240" w:lineRule="auto"/>
        <w:rPr>
          <w:rFonts w:ascii="Times New Roman" w:eastAsia="Times New Roman" w:hAnsi="Times New Roman" w:cs="Times New Roman"/>
          <w:sz w:val="24"/>
          <w:szCs w:val="24"/>
          <w:lang w:eastAsia="de-DE"/>
        </w:rPr>
      </w:pPr>
      <w:r w:rsidRPr="00BC43BD">
        <w:rPr>
          <w:rFonts w:ascii="Times New Roman" w:eastAsia="Times New Roman" w:hAnsi="Times New Roman" w:cs="Times New Roman"/>
          <w:sz w:val="24"/>
          <w:szCs w:val="24"/>
          <w:lang w:eastAsia="de-DE"/>
        </w:rPr>
        <w:t>https://www.bundesfinanzministerium.de/Content/DE/Gesetzestexte/Gesetze_Gesetzesvorhaben/Abteilungen/Abteilung_IV/18_Legislaturperiode/Gesetze_Verordnungen/2016-12-28-Kassenmanipulationsschutzgestz/0-Gesetz.html Verkündetes Gesetz</w:t>
      </w:r>
    </w:p>
    <w:p w:rsidR="00BC43BD" w:rsidRDefault="00BC43BD" w:rsidP="00BC43BD">
      <w:pPr>
        <w:spacing w:after="0" w:line="240" w:lineRule="auto"/>
        <w:rPr>
          <w:rFonts w:ascii="Times New Roman" w:eastAsia="Times New Roman" w:hAnsi="Times New Roman" w:cs="Times New Roman"/>
          <w:sz w:val="24"/>
          <w:szCs w:val="24"/>
          <w:lang w:eastAsia="de-DE"/>
        </w:rPr>
      </w:pPr>
    </w:p>
    <w:p w:rsidR="00BC43BD" w:rsidRPr="00BC43BD" w:rsidRDefault="00BC43BD" w:rsidP="00BC43BD">
      <w:pPr>
        <w:spacing w:after="0" w:line="240" w:lineRule="auto"/>
        <w:rPr>
          <w:rFonts w:ascii="Times New Roman" w:eastAsia="Times New Roman" w:hAnsi="Times New Roman" w:cs="Times New Roman"/>
          <w:sz w:val="24"/>
          <w:szCs w:val="24"/>
          <w:lang w:eastAsia="de-DE"/>
        </w:rPr>
      </w:pPr>
    </w:p>
    <w:sectPr w:rsidR="00BC43BD" w:rsidRPr="00BC43BD" w:rsidSect="00212DA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51B0E"/>
    <w:multiLevelType w:val="multilevel"/>
    <w:tmpl w:val="38DE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9C4BF9"/>
    <w:multiLevelType w:val="multilevel"/>
    <w:tmpl w:val="BB2C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BC43BD"/>
    <w:rsid w:val="00212DAA"/>
    <w:rsid w:val="00981F29"/>
    <w:rsid w:val="00BC43BD"/>
    <w:rsid w:val="00BF56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2DAA"/>
  </w:style>
  <w:style w:type="paragraph" w:styleId="berschrift1">
    <w:name w:val="heading 1"/>
    <w:basedOn w:val="Standard"/>
    <w:link w:val="berschrift1Zchn"/>
    <w:uiPriority w:val="9"/>
    <w:qFormat/>
    <w:rsid w:val="00BC43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43BD"/>
    <w:rPr>
      <w:rFonts w:ascii="Times New Roman" w:eastAsia="Times New Roman" w:hAnsi="Times New Roman" w:cs="Times New Roman"/>
      <w:b/>
      <w:bCs/>
      <w:kern w:val="36"/>
      <w:sz w:val="48"/>
      <w:szCs w:val="48"/>
      <w:lang w:eastAsia="de-DE"/>
    </w:rPr>
  </w:style>
  <w:style w:type="character" w:customStyle="1" w:styleId="value">
    <w:name w:val="value"/>
    <w:basedOn w:val="Absatz-Standardschriftart"/>
    <w:rsid w:val="00BC43BD"/>
  </w:style>
  <w:style w:type="paragraph" w:styleId="StandardWeb">
    <w:name w:val="Normal (Web)"/>
    <w:basedOn w:val="Standard"/>
    <w:uiPriority w:val="99"/>
    <w:semiHidden/>
    <w:unhideWhenUsed/>
    <w:rsid w:val="00BC43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C43BD"/>
    <w:rPr>
      <w:color w:val="0000FF"/>
      <w:u w:val="single"/>
    </w:rPr>
  </w:style>
</w:styles>
</file>

<file path=word/webSettings.xml><?xml version="1.0" encoding="utf-8"?>
<w:webSettings xmlns:r="http://schemas.openxmlformats.org/officeDocument/2006/relationships" xmlns:w="http://schemas.openxmlformats.org/wordprocessingml/2006/main">
  <w:divs>
    <w:div w:id="1918436105">
      <w:bodyDiv w:val="1"/>
      <w:marLeft w:val="0"/>
      <w:marRight w:val="0"/>
      <w:marTop w:val="0"/>
      <w:marBottom w:val="0"/>
      <w:divBdr>
        <w:top w:val="none" w:sz="0" w:space="0" w:color="auto"/>
        <w:left w:val="none" w:sz="0" w:space="0" w:color="auto"/>
        <w:bottom w:val="none" w:sz="0" w:space="0" w:color="auto"/>
        <w:right w:val="none" w:sz="0" w:space="0" w:color="auto"/>
      </w:divBdr>
      <w:divsChild>
        <w:div w:id="1728915939">
          <w:marLeft w:val="0"/>
          <w:marRight w:val="0"/>
          <w:marTop w:val="0"/>
          <w:marBottom w:val="0"/>
          <w:divBdr>
            <w:top w:val="none" w:sz="0" w:space="0" w:color="auto"/>
            <w:left w:val="none" w:sz="0" w:space="0" w:color="auto"/>
            <w:bottom w:val="none" w:sz="0" w:space="0" w:color="auto"/>
            <w:right w:val="none" w:sz="0" w:space="0" w:color="auto"/>
          </w:divBdr>
          <w:divsChild>
            <w:div w:id="410086764">
              <w:marLeft w:val="0"/>
              <w:marRight w:val="0"/>
              <w:marTop w:val="0"/>
              <w:marBottom w:val="0"/>
              <w:divBdr>
                <w:top w:val="none" w:sz="0" w:space="0" w:color="auto"/>
                <w:left w:val="none" w:sz="0" w:space="0" w:color="auto"/>
                <w:bottom w:val="none" w:sz="0" w:space="0" w:color="auto"/>
                <w:right w:val="none" w:sz="0" w:space="0" w:color="auto"/>
              </w:divBdr>
              <w:divsChild>
                <w:div w:id="1119108231">
                  <w:marLeft w:val="0"/>
                  <w:marRight w:val="0"/>
                  <w:marTop w:val="0"/>
                  <w:marBottom w:val="0"/>
                  <w:divBdr>
                    <w:top w:val="none" w:sz="0" w:space="0" w:color="auto"/>
                    <w:left w:val="none" w:sz="0" w:space="0" w:color="auto"/>
                    <w:bottom w:val="none" w:sz="0" w:space="0" w:color="auto"/>
                    <w:right w:val="none" w:sz="0" w:space="0" w:color="auto"/>
                  </w:divBdr>
                  <w:divsChild>
                    <w:div w:id="594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7543">
          <w:marLeft w:val="0"/>
          <w:marRight w:val="0"/>
          <w:marTop w:val="0"/>
          <w:marBottom w:val="0"/>
          <w:divBdr>
            <w:top w:val="none" w:sz="0" w:space="0" w:color="auto"/>
            <w:left w:val="none" w:sz="0" w:space="0" w:color="auto"/>
            <w:bottom w:val="none" w:sz="0" w:space="0" w:color="auto"/>
            <w:right w:val="none" w:sz="0" w:space="0" w:color="auto"/>
          </w:divBdr>
          <w:divsChild>
            <w:div w:id="201410154">
              <w:marLeft w:val="0"/>
              <w:marRight w:val="0"/>
              <w:marTop w:val="0"/>
              <w:marBottom w:val="0"/>
              <w:divBdr>
                <w:top w:val="none" w:sz="0" w:space="0" w:color="auto"/>
                <w:left w:val="none" w:sz="0" w:space="0" w:color="auto"/>
                <w:bottom w:val="none" w:sz="0" w:space="0" w:color="auto"/>
                <w:right w:val="none" w:sz="0" w:space="0" w:color="auto"/>
              </w:divBdr>
              <w:divsChild>
                <w:div w:id="1562793920">
                  <w:marLeft w:val="0"/>
                  <w:marRight w:val="0"/>
                  <w:marTop w:val="0"/>
                  <w:marBottom w:val="0"/>
                  <w:divBdr>
                    <w:top w:val="none" w:sz="0" w:space="0" w:color="auto"/>
                    <w:left w:val="none" w:sz="0" w:space="0" w:color="auto"/>
                    <w:bottom w:val="none" w:sz="0" w:space="0" w:color="auto"/>
                    <w:right w:val="none" w:sz="0" w:space="0" w:color="auto"/>
                  </w:divBdr>
                  <w:divsChild>
                    <w:div w:id="1592348792">
                      <w:marLeft w:val="0"/>
                      <w:marRight w:val="0"/>
                      <w:marTop w:val="0"/>
                      <w:marBottom w:val="0"/>
                      <w:divBdr>
                        <w:top w:val="none" w:sz="0" w:space="0" w:color="auto"/>
                        <w:left w:val="none" w:sz="0" w:space="0" w:color="auto"/>
                        <w:bottom w:val="none" w:sz="0" w:space="0" w:color="auto"/>
                        <w:right w:val="none" w:sz="0" w:space="0" w:color="auto"/>
                      </w:divBdr>
                      <w:divsChild>
                        <w:div w:id="2112316002">
                          <w:marLeft w:val="0"/>
                          <w:marRight w:val="0"/>
                          <w:marTop w:val="0"/>
                          <w:marBottom w:val="0"/>
                          <w:divBdr>
                            <w:top w:val="none" w:sz="0" w:space="0" w:color="auto"/>
                            <w:left w:val="none" w:sz="0" w:space="0" w:color="auto"/>
                            <w:bottom w:val="none" w:sz="0" w:space="0" w:color="auto"/>
                            <w:right w:val="none" w:sz="0" w:space="0" w:color="auto"/>
                          </w:divBdr>
                        </w:div>
                      </w:divsChild>
                    </w:div>
                    <w:div w:id="2009559491">
                      <w:marLeft w:val="0"/>
                      <w:marRight w:val="0"/>
                      <w:marTop w:val="0"/>
                      <w:marBottom w:val="0"/>
                      <w:divBdr>
                        <w:top w:val="none" w:sz="0" w:space="0" w:color="auto"/>
                        <w:left w:val="none" w:sz="0" w:space="0" w:color="auto"/>
                        <w:bottom w:val="none" w:sz="0" w:space="0" w:color="auto"/>
                        <w:right w:val="none" w:sz="0" w:space="0" w:color="auto"/>
                      </w:divBdr>
                      <w:divsChild>
                        <w:div w:id="919563735">
                          <w:marLeft w:val="0"/>
                          <w:marRight w:val="0"/>
                          <w:marTop w:val="0"/>
                          <w:marBottom w:val="0"/>
                          <w:divBdr>
                            <w:top w:val="none" w:sz="0" w:space="0" w:color="auto"/>
                            <w:left w:val="none" w:sz="0" w:space="0" w:color="auto"/>
                            <w:bottom w:val="none" w:sz="0" w:space="0" w:color="auto"/>
                            <w:right w:val="none" w:sz="0" w:space="0" w:color="auto"/>
                          </w:divBdr>
                        </w:div>
                      </w:divsChild>
                    </w:div>
                    <w:div w:id="1573587566">
                      <w:marLeft w:val="0"/>
                      <w:marRight w:val="0"/>
                      <w:marTop w:val="0"/>
                      <w:marBottom w:val="0"/>
                      <w:divBdr>
                        <w:top w:val="none" w:sz="0" w:space="0" w:color="auto"/>
                        <w:left w:val="none" w:sz="0" w:space="0" w:color="auto"/>
                        <w:bottom w:val="none" w:sz="0" w:space="0" w:color="auto"/>
                        <w:right w:val="none" w:sz="0" w:space="0" w:color="auto"/>
                      </w:divBdr>
                      <w:divsChild>
                        <w:div w:id="1769618912">
                          <w:marLeft w:val="0"/>
                          <w:marRight w:val="0"/>
                          <w:marTop w:val="0"/>
                          <w:marBottom w:val="0"/>
                          <w:divBdr>
                            <w:top w:val="none" w:sz="0" w:space="0" w:color="auto"/>
                            <w:left w:val="none" w:sz="0" w:space="0" w:color="auto"/>
                            <w:bottom w:val="none" w:sz="0" w:space="0" w:color="auto"/>
                            <w:right w:val="none" w:sz="0" w:space="0" w:color="auto"/>
                          </w:divBdr>
                        </w:div>
                      </w:divsChild>
                    </w:div>
                    <w:div w:id="1724282674">
                      <w:marLeft w:val="0"/>
                      <w:marRight w:val="0"/>
                      <w:marTop w:val="0"/>
                      <w:marBottom w:val="0"/>
                      <w:divBdr>
                        <w:top w:val="none" w:sz="0" w:space="0" w:color="auto"/>
                        <w:left w:val="none" w:sz="0" w:space="0" w:color="auto"/>
                        <w:bottom w:val="none" w:sz="0" w:space="0" w:color="auto"/>
                        <w:right w:val="none" w:sz="0" w:space="0" w:color="auto"/>
                      </w:divBdr>
                      <w:divsChild>
                        <w:div w:id="807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ndesfinanzministerium.de/Content/DE/Glossareintraege/A/001_Abgabenordnung.html;jsessionid=AFCD57EB144B00FE513A66A2B64BC7C4.delivery2-replication?view=renderHelp"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3687</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Haupt</dc:creator>
  <cp:lastModifiedBy>Haupt</cp:lastModifiedBy>
  <cp:revision>3</cp:revision>
  <dcterms:created xsi:type="dcterms:W3CDTF">2020-01-06T13:50:00Z</dcterms:created>
  <dcterms:modified xsi:type="dcterms:W3CDTF">2020-01-10T08:21:00Z</dcterms:modified>
</cp:coreProperties>
</file>